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A01" w:rsidRDefault="003404AA">
      <w:r w:rsidRPr="003404AA">
        <w:drawing>
          <wp:inline distT="0" distB="0" distL="0" distR="0">
            <wp:extent cx="5642960" cy="3903980"/>
            <wp:effectExtent l="19050" t="0" r="14890" b="1270"/>
            <wp:docPr id="3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sectPr w:rsidR="00DE4A01" w:rsidSect="009946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6292" w:rsidRDefault="00F66292" w:rsidP="00F66292">
      <w:pPr>
        <w:spacing w:after="0" w:line="240" w:lineRule="auto"/>
      </w:pPr>
      <w:r>
        <w:separator/>
      </w:r>
    </w:p>
  </w:endnote>
  <w:endnote w:type="continuationSeparator" w:id="0">
    <w:p w:rsidR="00F66292" w:rsidRDefault="00F66292" w:rsidP="00F66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6292" w:rsidRDefault="00F66292" w:rsidP="00F66292">
      <w:pPr>
        <w:spacing w:after="0" w:line="240" w:lineRule="auto"/>
      </w:pPr>
      <w:r>
        <w:separator/>
      </w:r>
    </w:p>
  </w:footnote>
  <w:footnote w:type="continuationSeparator" w:id="0">
    <w:p w:rsidR="00F66292" w:rsidRDefault="00F66292" w:rsidP="00F662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1A62"/>
    <w:rsid w:val="00016A4C"/>
    <w:rsid w:val="00024CCE"/>
    <w:rsid w:val="000338DB"/>
    <w:rsid w:val="000721F9"/>
    <w:rsid w:val="000A29DC"/>
    <w:rsid w:val="000C0E2B"/>
    <w:rsid w:val="000C1BD0"/>
    <w:rsid w:val="000C4879"/>
    <w:rsid w:val="000E0219"/>
    <w:rsid w:val="0015402C"/>
    <w:rsid w:val="00187253"/>
    <w:rsid w:val="001A1B26"/>
    <w:rsid w:val="002759A2"/>
    <w:rsid w:val="00275F71"/>
    <w:rsid w:val="0028760C"/>
    <w:rsid w:val="002C3CAD"/>
    <w:rsid w:val="002C58B7"/>
    <w:rsid w:val="002D007F"/>
    <w:rsid w:val="00315C51"/>
    <w:rsid w:val="003404AA"/>
    <w:rsid w:val="003D291A"/>
    <w:rsid w:val="003F653D"/>
    <w:rsid w:val="004028D3"/>
    <w:rsid w:val="0045025A"/>
    <w:rsid w:val="00455C44"/>
    <w:rsid w:val="004848C8"/>
    <w:rsid w:val="004E0FA1"/>
    <w:rsid w:val="0050340F"/>
    <w:rsid w:val="005473CF"/>
    <w:rsid w:val="005725AA"/>
    <w:rsid w:val="005A06A9"/>
    <w:rsid w:val="005A3966"/>
    <w:rsid w:val="005D50AC"/>
    <w:rsid w:val="00606FEA"/>
    <w:rsid w:val="0062550E"/>
    <w:rsid w:val="006535F9"/>
    <w:rsid w:val="006962CE"/>
    <w:rsid w:val="006B7C7F"/>
    <w:rsid w:val="006E1E07"/>
    <w:rsid w:val="006F2AF5"/>
    <w:rsid w:val="007019F2"/>
    <w:rsid w:val="00711C3E"/>
    <w:rsid w:val="00737C61"/>
    <w:rsid w:val="007C6005"/>
    <w:rsid w:val="007D54BE"/>
    <w:rsid w:val="00817E80"/>
    <w:rsid w:val="00822DBE"/>
    <w:rsid w:val="00863264"/>
    <w:rsid w:val="00886637"/>
    <w:rsid w:val="008C59D9"/>
    <w:rsid w:val="008D4783"/>
    <w:rsid w:val="00914703"/>
    <w:rsid w:val="00926B58"/>
    <w:rsid w:val="00937F00"/>
    <w:rsid w:val="00994699"/>
    <w:rsid w:val="009D66D5"/>
    <w:rsid w:val="00A26885"/>
    <w:rsid w:val="00A545E1"/>
    <w:rsid w:val="00A57CCC"/>
    <w:rsid w:val="00B01D07"/>
    <w:rsid w:val="00B921CE"/>
    <w:rsid w:val="00BF5297"/>
    <w:rsid w:val="00C25A78"/>
    <w:rsid w:val="00CA6D4E"/>
    <w:rsid w:val="00CC1A62"/>
    <w:rsid w:val="00CC1B29"/>
    <w:rsid w:val="00CE08F7"/>
    <w:rsid w:val="00CF57A6"/>
    <w:rsid w:val="00D24272"/>
    <w:rsid w:val="00D43808"/>
    <w:rsid w:val="00D47181"/>
    <w:rsid w:val="00E05F81"/>
    <w:rsid w:val="00E27CD7"/>
    <w:rsid w:val="00E46A36"/>
    <w:rsid w:val="00E63AD0"/>
    <w:rsid w:val="00E82305"/>
    <w:rsid w:val="00EF7AF1"/>
    <w:rsid w:val="00F53C57"/>
    <w:rsid w:val="00F62942"/>
    <w:rsid w:val="00F66292"/>
    <w:rsid w:val="00F77AB3"/>
    <w:rsid w:val="00F8244B"/>
    <w:rsid w:val="00F972BA"/>
    <w:rsid w:val="00FB19D7"/>
    <w:rsid w:val="00FE03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6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1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1A6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662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6292"/>
  </w:style>
  <w:style w:type="paragraph" w:styleId="Footer">
    <w:name w:val="footer"/>
    <w:basedOn w:val="Normal"/>
    <w:link w:val="FooterChar"/>
    <w:uiPriority w:val="99"/>
    <w:semiHidden/>
    <w:unhideWhenUsed/>
    <w:rsid w:val="00F662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62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uespcola\tera\GEOTECHNICAL%20DEPARTMENT\PROJECTS\2017\1730.1700055.0000%20-%20FIN%20428846-1-52-01%20Bayou%20Blvd%20_%20Pensacola,%20Escambia%20County,%20Florida%20_%20Roads%20Inc.%20of%20NWF\Bayou%20Blvd%20Correlations%20OLD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title>
      <c:tx>
        <c:rich>
          <a:bodyPr/>
          <a:lstStyle/>
          <a:p>
            <a:pPr>
              <a:defRPr/>
            </a:pPr>
            <a:r>
              <a:rPr lang="en-US"/>
              <a:t>Composite</a:t>
            </a:r>
          </a:p>
        </c:rich>
      </c:tx>
      <c:layout/>
    </c:title>
    <c:plotArea>
      <c:layout>
        <c:manualLayout>
          <c:layoutTarget val="inner"/>
          <c:xMode val="edge"/>
          <c:yMode val="edge"/>
          <c:x val="0.11753317647442676"/>
          <c:y val="0.1433764600989762"/>
          <c:w val="0.84628305922035452"/>
          <c:h val="0.71903863877702312"/>
        </c:manualLayout>
      </c:layout>
      <c:scatterChart>
        <c:scatterStyle val="lineMarker"/>
        <c:ser>
          <c:idx val="0"/>
          <c:order val="0"/>
          <c:tx>
            <c:v>Composite</c:v>
          </c:tx>
          <c:spPr>
            <a:ln w="28575">
              <a:noFill/>
            </a:ln>
          </c:spPr>
          <c:marker>
            <c:spPr>
              <a:solidFill>
                <a:schemeClr val="accent1"/>
              </a:solidFill>
              <a:ln>
                <a:noFill/>
              </a:ln>
            </c:spPr>
          </c:marker>
          <c:trendline>
            <c:trendlineType val="linear"/>
            <c:backward val="2"/>
            <c:dispRSqr val="1"/>
            <c:dispEq val="1"/>
            <c:trendlineLbl>
              <c:layout>
                <c:manualLayout>
                  <c:x val="-0.5109592881449887"/>
                  <c:y val="0.12697977399771587"/>
                </c:manualLayout>
              </c:layout>
              <c:numFmt formatCode="General" sourceLinked="0"/>
            </c:trendlineLbl>
          </c:trendline>
          <c:xVal>
            <c:numRef>
              <c:f>Sheet1!$F$3:$F$39</c:f>
              <c:numCache>
                <c:formatCode>General</c:formatCode>
                <c:ptCount val="37"/>
                <c:pt idx="0">
                  <c:v>9</c:v>
                </c:pt>
                <c:pt idx="1">
                  <c:v>6</c:v>
                </c:pt>
                <c:pt idx="2">
                  <c:v>13</c:v>
                </c:pt>
                <c:pt idx="3">
                  <c:v>15</c:v>
                </c:pt>
                <c:pt idx="4">
                  <c:v>14</c:v>
                </c:pt>
                <c:pt idx="5">
                  <c:v>12</c:v>
                </c:pt>
                <c:pt idx="6">
                  <c:v>11</c:v>
                </c:pt>
                <c:pt idx="7">
                  <c:v>11</c:v>
                </c:pt>
                <c:pt idx="8">
                  <c:v>5</c:v>
                </c:pt>
                <c:pt idx="9">
                  <c:v>7</c:v>
                </c:pt>
                <c:pt idx="10">
                  <c:v>8</c:v>
                </c:pt>
                <c:pt idx="11">
                  <c:v>12</c:v>
                </c:pt>
                <c:pt idx="13">
                  <c:v>3</c:v>
                </c:pt>
                <c:pt idx="14">
                  <c:v>3</c:v>
                </c:pt>
                <c:pt idx="15">
                  <c:v>5</c:v>
                </c:pt>
                <c:pt idx="16">
                  <c:v>4</c:v>
                </c:pt>
                <c:pt idx="17">
                  <c:v>2</c:v>
                </c:pt>
                <c:pt idx="18">
                  <c:v>2</c:v>
                </c:pt>
                <c:pt idx="19">
                  <c:v>7</c:v>
                </c:pt>
                <c:pt idx="20">
                  <c:v>11</c:v>
                </c:pt>
                <c:pt idx="21">
                  <c:v>9</c:v>
                </c:pt>
                <c:pt idx="22">
                  <c:v>3</c:v>
                </c:pt>
                <c:pt idx="23">
                  <c:v>4</c:v>
                </c:pt>
                <c:pt idx="24">
                  <c:v>5</c:v>
                </c:pt>
                <c:pt idx="25">
                  <c:v>7</c:v>
                </c:pt>
                <c:pt idx="26">
                  <c:v>7</c:v>
                </c:pt>
                <c:pt idx="27">
                  <c:v>5</c:v>
                </c:pt>
                <c:pt idx="28">
                  <c:v>4</c:v>
                </c:pt>
                <c:pt idx="29">
                  <c:v>4</c:v>
                </c:pt>
                <c:pt idx="30">
                  <c:v>5</c:v>
                </c:pt>
                <c:pt idx="31">
                  <c:v>5</c:v>
                </c:pt>
                <c:pt idx="32">
                  <c:v>4</c:v>
                </c:pt>
                <c:pt idx="33">
                  <c:v>2</c:v>
                </c:pt>
                <c:pt idx="34">
                  <c:v>5</c:v>
                </c:pt>
                <c:pt idx="35">
                  <c:v>7</c:v>
                </c:pt>
                <c:pt idx="36">
                  <c:v>10</c:v>
                </c:pt>
              </c:numCache>
            </c:numRef>
          </c:xVal>
          <c:yVal>
            <c:numRef>
              <c:f>Sheet1!$E$3:$E$39</c:f>
              <c:numCache>
                <c:formatCode>General</c:formatCode>
                <c:ptCount val="37"/>
                <c:pt idx="0">
                  <c:v>97</c:v>
                </c:pt>
                <c:pt idx="1">
                  <c:v>95</c:v>
                </c:pt>
                <c:pt idx="2">
                  <c:v>101</c:v>
                </c:pt>
                <c:pt idx="3">
                  <c:v>103</c:v>
                </c:pt>
                <c:pt idx="4">
                  <c:v>98</c:v>
                </c:pt>
                <c:pt idx="5">
                  <c:v>100</c:v>
                </c:pt>
                <c:pt idx="6">
                  <c:v>101</c:v>
                </c:pt>
                <c:pt idx="7">
                  <c:v>100</c:v>
                </c:pt>
                <c:pt idx="8">
                  <c:v>85</c:v>
                </c:pt>
                <c:pt idx="9">
                  <c:v>91</c:v>
                </c:pt>
                <c:pt idx="10">
                  <c:v>85</c:v>
                </c:pt>
                <c:pt idx="11">
                  <c:v>92</c:v>
                </c:pt>
                <c:pt idx="13">
                  <c:v>92</c:v>
                </c:pt>
                <c:pt idx="14">
                  <c:v>96</c:v>
                </c:pt>
                <c:pt idx="15">
                  <c:v>94</c:v>
                </c:pt>
                <c:pt idx="16">
                  <c:v>90</c:v>
                </c:pt>
                <c:pt idx="17">
                  <c:v>90</c:v>
                </c:pt>
                <c:pt idx="18">
                  <c:v>92</c:v>
                </c:pt>
                <c:pt idx="19">
                  <c:v>95</c:v>
                </c:pt>
                <c:pt idx="20">
                  <c:v>93</c:v>
                </c:pt>
                <c:pt idx="21">
                  <c:v>99</c:v>
                </c:pt>
                <c:pt idx="22">
                  <c:v>96</c:v>
                </c:pt>
                <c:pt idx="23">
                  <c:v>95</c:v>
                </c:pt>
                <c:pt idx="24">
                  <c:v>91</c:v>
                </c:pt>
                <c:pt idx="25">
                  <c:v>93</c:v>
                </c:pt>
                <c:pt idx="26">
                  <c:v>94</c:v>
                </c:pt>
                <c:pt idx="27">
                  <c:v>97</c:v>
                </c:pt>
                <c:pt idx="28">
                  <c:v>95</c:v>
                </c:pt>
                <c:pt idx="29">
                  <c:v>93</c:v>
                </c:pt>
                <c:pt idx="30">
                  <c:v>90</c:v>
                </c:pt>
                <c:pt idx="31">
                  <c:v>90</c:v>
                </c:pt>
                <c:pt idx="32">
                  <c:v>90</c:v>
                </c:pt>
                <c:pt idx="33">
                  <c:v>93</c:v>
                </c:pt>
                <c:pt idx="34">
                  <c:v>96</c:v>
                </c:pt>
                <c:pt idx="35">
                  <c:v>96</c:v>
                </c:pt>
                <c:pt idx="36">
                  <c:v>100</c:v>
                </c:pt>
              </c:numCache>
            </c:numRef>
          </c:yVal>
        </c:ser>
        <c:axId val="81130624"/>
        <c:axId val="81132544"/>
      </c:scatterChart>
      <c:scatterChart>
        <c:scatterStyle val="smoothMarker"/>
        <c:ser>
          <c:idx val="1"/>
          <c:order val="1"/>
          <c:tx>
            <c:v>100%</c:v>
          </c:tx>
          <c:marker>
            <c:symbol val="none"/>
          </c:marke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100%</a:t>
                    </a:r>
                  </a:p>
                </c:rich>
              </c:tx>
              <c:showVal val="1"/>
            </c:dLbl>
            <c:showVal val="1"/>
          </c:dLbls>
          <c:xVal>
            <c:numRef>
              <c:f>Sheet1!$C$44:$C$47</c:f>
              <c:numCache>
                <c:formatCode>General</c:formatCode>
                <c:ptCount val="4"/>
                <c:pt idx="0">
                  <c:v>0</c:v>
                </c:pt>
                <c:pt idx="1">
                  <c:v>5</c:v>
                </c:pt>
                <c:pt idx="2">
                  <c:v>10</c:v>
                </c:pt>
                <c:pt idx="3">
                  <c:v>15</c:v>
                </c:pt>
              </c:numCache>
            </c:numRef>
          </c:xVal>
          <c:yVal>
            <c:numRef>
              <c:f>Sheet1!$D$44:$D$47</c:f>
              <c:numCache>
                <c:formatCode>General</c:formatCode>
                <c:ptCount val="4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</c:numCache>
            </c:numRef>
          </c:yVal>
          <c:smooth val="1"/>
        </c:ser>
        <c:ser>
          <c:idx val="2"/>
          <c:order val="2"/>
          <c:marker>
            <c:symbol val="none"/>
          </c:marker>
          <c:dLbls>
            <c:dLbl>
              <c:idx val="2"/>
              <c:layout>
                <c:manualLayout>
                  <c:x val="6.7559624028032533E-3"/>
                  <c:y val="-3.1806615776081452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15</a:t>
                    </a:r>
                    <a:r>
                      <a:rPr lang="en-US" b="1" baseline="0"/>
                      <a:t> Blows</a:t>
                    </a:r>
                    <a:endParaRPr lang="en-US" b="1"/>
                  </a:p>
                </c:rich>
              </c:tx>
              <c:showVal val="1"/>
            </c:dLbl>
            <c:dLbl>
              <c:idx val="3"/>
              <c:delete val="1"/>
            </c:dLbl>
            <c:showVal val="1"/>
          </c:dLbls>
          <c:xVal>
            <c:numRef>
              <c:f>Sheet1!$C$48:$C$51</c:f>
              <c:numCache>
                <c:formatCode>General</c:formatCode>
                <c:ptCount val="4"/>
                <c:pt idx="0">
                  <c:v>15</c:v>
                </c:pt>
                <c:pt idx="1">
                  <c:v>15</c:v>
                </c:pt>
                <c:pt idx="2">
                  <c:v>15</c:v>
                </c:pt>
                <c:pt idx="3">
                  <c:v>15</c:v>
                </c:pt>
              </c:numCache>
            </c:numRef>
          </c:xVal>
          <c:yVal>
            <c:numRef>
              <c:f>Sheet1!$D$48:$D$51</c:f>
              <c:numCache>
                <c:formatCode>General</c:formatCode>
                <c:ptCount val="4"/>
                <c:pt idx="0">
                  <c:v>0</c:v>
                </c:pt>
                <c:pt idx="1">
                  <c:v>50</c:v>
                </c:pt>
                <c:pt idx="2">
                  <c:v>89</c:v>
                </c:pt>
                <c:pt idx="3">
                  <c:v>100</c:v>
                </c:pt>
              </c:numCache>
            </c:numRef>
          </c:yVal>
          <c:smooth val="1"/>
        </c:ser>
        <c:axId val="81130624"/>
        <c:axId val="81132544"/>
      </c:scatterChart>
      <c:valAx>
        <c:axId val="81130624"/>
        <c:scaling>
          <c:orientation val="minMax"/>
          <c:max val="16"/>
          <c:min val="0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DCP Blows</a:t>
                </a:r>
              </a:p>
            </c:rich>
          </c:tx>
          <c:layout/>
        </c:title>
        <c:numFmt formatCode="General" sourceLinked="1"/>
        <c:tickLblPos val="nextTo"/>
        <c:crossAx val="81132544"/>
        <c:crosses val="autoZero"/>
        <c:crossBetween val="midCat"/>
        <c:majorUnit val="5"/>
        <c:minorUnit val="1"/>
      </c:valAx>
      <c:valAx>
        <c:axId val="81132544"/>
        <c:scaling>
          <c:orientation val="minMax"/>
          <c:max val="102"/>
          <c:min val="89"/>
        </c:scaling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Relative Compaction (%)</a:t>
                </a:r>
              </a:p>
            </c:rich>
          </c:tx>
          <c:layout/>
        </c:title>
        <c:numFmt formatCode="General" sourceLinked="1"/>
        <c:tickLblPos val="nextTo"/>
        <c:crossAx val="81130624"/>
        <c:crosses val="autoZero"/>
        <c:crossBetween val="midCat"/>
        <c:majorUnit val="1"/>
      </c:valAx>
    </c:plotArea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jmcconnell</dc:creator>
  <cp:lastModifiedBy>jmcconnell</cp:lastModifiedBy>
  <cp:revision>2</cp:revision>
  <dcterms:created xsi:type="dcterms:W3CDTF">2017-07-11T14:06:00Z</dcterms:created>
  <dcterms:modified xsi:type="dcterms:W3CDTF">2017-07-11T14:06:00Z</dcterms:modified>
</cp:coreProperties>
</file>